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18 24 vom 4. September 2018</w:t>
      </w:r>
    </w:p>
    <w:p>
      <w:r>
        <w:t>VS Kantonsgericht, 2018-09-04, FR</w:t>
      </w:r>
    </w:p>
    <w:p>
      <w:r>
        <w:rPr>
          <w:b/>
        </w:rPr>
        <w:t xml:space="preserve">Quelle: </w:t>
      </w:r>
      <w:r>
        <w:t>https://mcp.opencaselaw.ch/entscheid/vs_gerichte_LP 18 24</w:t>
      </w:r>
    </w:p>
    <w:p>
      <w:r>
        <w:t>FR: VS_GERICHTE LP 18 24 du 4 septembre 2018</w:t>
      </w:r>
    </w:p>
    <w:p>
      <w:r>
        <w:t>IT: VS_GERICHTE LP 18 24 del 4 settembre 2018</w:t>
      </w:r>
    </w:p>
    <w:p>
      <w:pPr>
        <w:pStyle w:val="Heading2"/>
      </w:pPr>
      <w:r>
        <w:t>Regeste</w:t>
      </w:r>
    </w:p>
    <w:p>
      <w:r>
        <w:t>LP 18 24 DÉCISION DU 4 SEPTEMBRE 2018 Tribunal cantonal du Valais Autorité supérieure en matière de plainte LP Bertrand Dayer, juge; Charlotte Balet, greffière ad hoc en la cause X _________, recourante, représentée par Maître M _________, avocat, contre Office des poursuites et faillites du district de A _________, intimé au recours et Y_________, intimé au recours, représenté par Maître N_________, avocat (art. 66 al. 4 ch. 1 LP)</w:t>
      </w:r>
    </w:p>
    <w:p>
      <w:pPr>
        <w:pStyle w:val="Heading2"/>
      </w:pPr>
      <w:r>
        <w:t>Erwägungen</w:t>
      </w:r>
    </w:p>
    <w:p>
      <w:r>
        <w:rPr>
          <w:b/>
        </w:rPr>
        <w:t>E. 13</w:t>
      </w:r>
    </w:p>
    <w:p>
      <w:r>
        <w:t>décembre 2017, ordonnant une nouvelle notification dudit procès-verbal par la voie normale, était erronée. 2.2 Aux termes de l'art. 66 al. 4 ch. 1 CP, la notification se fait par publication lorsque débiteur n'a pas de domicile connu. L’art. 35 al. 1 LP dispose que les publications sont insérées dans la Feuille officielle suisse du commerce et dans la feuille cantonale. L'Office des poursuites ne saurait recourir de son propre chef à la notification par la voie édictale, pas plus qu'il ne saurait donner suite à la réquisition y relative sans vérifier si les conditions de ce mode de notification sont réunies. La notification par voie de publication officielle ne peut avoir lieu que sur réquisition du poursuivant, lequel doit prouver non seulement que le poursuivi a abandonné son précédent domicile, mais encore qu'il n'en a pas fondé un nouveau ou qu'il est actuellement sans domicile connu, ses investigations devant être menées notamment auprès de la Poste, du contrôle des habitants, des autorités locales, voire de la police. En d’autres termes, comme la notification d'un acte de poursuite par voie de publication officielle constitue</w:t>
      </w:r>
    </w:p>
    <w:p>
      <w:r>
        <w:t>- 6 - un ultime moyen, il ne faut pas y recourir avant que toutes les recherches basées sur la situation de fait aient été entreprises, aussi bien par le poursuivant que par l'Office des poursuites, ce dernier ayant l'obligation de vérifier les indications que lui donne celui-ci, dans le but de découvrir une éventuelle adresse de notification du poursuivi (cf. ATF 119 III 60 consid. 2a et 112 III 6 consid. 4; JEANNERET / LEMBO, Commentaire romand, Poursuite et faillite, 2005, n. 19-20 ad art. 66 LP; GILLIÉRON, Commentaire LP, n. 49 et 54 ad art. 66 LP). Le poursuivi auquel un commandement de payer a été notifié sans droit, par la voie édictale, peut en requérir l'annulation en invoquant l’illégalité de ce mode de notification, eu égard aux frais et notamment au tort moral qui peuvent en résulter pour lui, et ceci même s'il a pris connaissance de l'acte mal notifié et a pu sauvegarder ses droits en formant opposition (cf. ATF 128 III 465 consid. 1; arrêt 5A_305/2009 du 10 juillet 2009 consid. 3; GILLIÉRON, Commentaire LP, n. 147 ad art. 17 LP et 58 ad art. 66 LP). 2.3 En l’espèce, l’Office n’a pas lui-même effectué de recherches complémentaires avant de procéder à la notification du procès-verbal de séquestre en question par la voie édictale. En effet, X_________ soutient n’avoir effectué elle-même que les recherches que l’on était en droit d’attendre de sa part, et affirme que l’Office n’a « pas pu obtenir d’informations supplémentaires » (cf. page 11 de son recours), sans préciser toutefois quelles démarches celui-ci aurait entreprises à cet égard. En outre, dans sa détermination du 18 janvier 2018, l’Office se contente d’affirmer ce qui suit: « étant donné que le créancier ne nous a pas communiqué d’adresse en Suisse, nous avons procédé à la publication de l’ordonnance et du procès-verbal de séquestre par voie édictale […] ». Il faut dès lors en déduire que l’Office a manqué à son obligation de vérifier les informations qui lui ont été communiquées par la poursuivante, et que ce n’est pas « en ultime recours » qu’il a fait usage de la possibilité de notifier le procès-verbal de séquestre en cause par la voie édictale. Dans ces conditions, sa décision du 13 décembre 2017, ordonnant une nouvelle notification dudit procès-verbal selon la voie normale, était parfaitement justifiée, si bien que la décision entreprise ne prête pas le flanc à la critique et que le présent recours doit être rejeté. 3. Il n’est pas perçu de frais judiciaires (cf. art. 20a al. 2 ch. 5 LP et 61 al. 2 let. a OELP) ni alloué de dépens (cf. art. 62 al. 2 OELP).</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